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single" w:sz="12" w:space="0" w:color="1B6FA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0"/>
        <w:gridCol w:w="2880"/>
      </w:tblGrid>
      <w:tr w:rsidR="002B04EE" w14:paraId="22EBC21C" w14:textId="77777777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120" w:type="dxa"/>
              <w:right w:w="120" w:type="dxa"/>
            </w:tcMar>
            <w:vAlign w:val="bottom"/>
          </w:tcPr>
          <w:p w14:paraId="21096053" w14:textId="77777777" w:rsidR="002B04EE" w:rsidRDefault="005A168C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B6FA8"/>
                <w:sz w:val="36"/>
                <w:szCs w:val="36"/>
              </w:rPr>
              <w:t>Gardens Dentistry</w:t>
            </w:r>
          </w:p>
          <w:p w14:paraId="7FC11E86" w14:textId="77777777" w:rsidR="002B04EE" w:rsidRDefault="005A168C">
            <w:r>
              <w:rPr>
                <w:rFonts w:ascii="Arial" w:eastAsia="Arial" w:hAnsi="Arial" w:cs="Arial"/>
                <w:color w:val="666666"/>
                <w:sz w:val="17"/>
                <w:szCs w:val="17"/>
              </w:rPr>
              <w:t xml:space="preserve">4290 Professional Center Dr., Suite </w:t>
            </w:r>
            <w:proofErr w:type="gramStart"/>
            <w:r>
              <w:rPr>
                <w:rFonts w:ascii="Arial" w:eastAsia="Arial" w:hAnsi="Arial" w:cs="Arial"/>
                <w:color w:val="666666"/>
                <w:sz w:val="17"/>
                <w:szCs w:val="17"/>
              </w:rPr>
              <w:t>209  •</w:t>
            </w:r>
            <w:proofErr w:type="gramEnd"/>
            <w:r>
              <w:rPr>
                <w:rFonts w:ascii="Arial" w:eastAsia="Arial" w:hAnsi="Arial" w:cs="Arial"/>
                <w:color w:val="666666"/>
                <w:sz w:val="17"/>
                <w:szCs w:val="17"/>
              </w:rPr>
              <w:t xml:space="preserve">  Palm Beach Gardens, FL 33410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120" w:type="dxa"/>
              <w:right w:w="0" w:type="dxa"/>
            </w:tcMar>
            <w:vAlign w:val="bottom"/>
          </w:tcPr>
          <w:p w14:paraId="2EBCFABC" w14:textId="77777777" w:rsidR="002B04EE" w:rsidRDefault="005A168C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B6FA8"/>
              </w:rPr>
              <w:t>(561) 508-6923</w:t>
            </w:r>
          </w:p>
        </w:tc>
      </w:tr>
    </w:tbl>
    <w:p w14:paraId="49826E69" w14:textId="77777777" w:rsidR="002B04EE" w:rsidRDefault="002B04EE">
      <w:pPr>
        <w:spacing w:before="160"/>
      </w:pPr>
    </w:p>
    <w:p w14:paraId="2BD27B80" w14:textId="77777777" w:rsidR="002B04EE" w:rsidRDefault="005A168C">
      <w:pPr>
        <w:spacing w:after="60"/>
        <w:jc w:val="center"/>
      </w:pPr>
      <w:r>
        <w:rPr>
          <w:rFonts w:ascii="Arial" w:eastAsia="Arial" w:hAnsi="Arial" w:cs="Arial"/>
          <w:b/>
          <w:bCs/>
          <w:color w:val="1B6FA8"/>
          <w:sz w:val="36"/>
          <w:szCs w:val="36"/>
        </w:rPr>
        <w:t>Post-Operative Instructions</w:t>
      </w:r>
    </w:p>
    <w:p w14:paraId="44D8B0AC" w14:textId="77777777" w:rsidR="002B04EE" w:rsidRDefault="005A168C">
      <w:pPr>
        <w:spacing w:after="80"/>
        <w:jc w:val="center"/>
      </w:pPr>
      <w:r>
        <w:rPr>
          <w:rFonts w:ascii="Arial" w:eastAsia="Arial" w:hAnsi="Arial" w:cs="Arial"/>
          <w:b/>
          <w:bCs/>
          <w:color w:val="333333"/>
          <w:sz w:val="26"/>
          <w:szCs w:val="26"/>
        </w:rPr>
        <w:t>Tooth Whitening</w:t>
      </w:r>
    </w:p>
    <w:p w14:paraId="47FE81CA" w14:textId="77777777" w:rsidR="002B04EE" w:rsidRDefault="002B04EE">
      <w:pPr>
        <w:spacing w:before="60"/>
      </w:pPr>
    </w:p>
    <w:p w14:paraId="09C5EAEB" w14:textId="77777777" w:rsidR="002B04EE" w:rsidRDefault="005A168C">
      <w:pPr>
        <w:spacing w:before="60" w:after="60"/>
      </w:pPr>
      <w:r>
        <w:rPr>
          <w:rFonts w:ascii="Arial" w:eastAsia="Arial" w:hAnsi="Arial" w:cs="Arial"/>
          <w:color w:val="333333"/>
        </w:rPr>
        <w:t>Congratulations on completing your whitening treatment! The first 48 hours are crucial to maximizing your results. Please follow these instructions carefully to protect your new smile and manage any sensitivity.</w:t>
      </w:r>
    </w:p>
    <w:p w14:paraId="08D1E642" w14:textId="77777777" w:rsidR="002B04EE" w:rsidRDefault="005A168C">
      <w:pPr>
        <w:pBdr>
          <w:bottom w:val="single" w:sz="8" w:space="4" w:color="1B6FA8"/>
        </w:pBdr>
        <w:spacing w:before="200" w:after="60"/>
      </w:pPr>
      <w:r>
        <w:rPr>
          <w:rFonts w:ascii="Arial" w:eastAsia="Arial" w:hAnsi="Arial" w:cs="Arial"/>
          <w:b/>
          <w:bCs/>
          <w:color w:val="1B6FA8"/>
          <w:sz w:val="22"/>
          <w:szCs w:val="22"/>
        </w:rPr>
        <w:t>Managing Sensitivity</w:t>
      </w:r>
    </w:p>
    <w:p w14:paraId="777B1DE2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Some tooth sensitivity after whitening is completely normal and typically resolves within 48–72 hours.</w:t>
      </w:r>
    </w:p>
    <w:p w14:paraId="493651E0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 xml:space="preserve">Over-the-counter pain relievers such as </w:t>
      </w:r>
      <w:r>
        <w:rPr>
          <w:rFonts w:ascii="Arial" w:eastAsia="Arial" w:hAnsi="Arial" w:cs="Arial"/>
          <w:b/>
          <w:bCs/>
          <w:color w:val="333333"/>
        </w:rPr>
        <w:t>ibuprofen (Advil/Motrin) or acetaminophen (Tylenol)</w:t>
      </w:r>
      <w:r>
        <w:rPr>
          <w:rFonts w:ascii="Arial" w:eastAsia="Arial" w:hAnsi="Arial" w:cs="Arial"/>
          <w:color w:val="333333"/>
        </w:rPr>
        <w:t xml:space="preserve"> can help manage any discomfort.</w:t>
      </w:r>
    </w:p>
    <w:p w14:paraId="43EFD212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 xml:space="preserve">Use </w:t>
      </w:r>
      <w:r>
        <w:rPr>
          <w:rFonts w:ascii="Arial" w:eastAsia="Arial" w:hAnsi="Arial" w:cs="Arial"/>
          <w:b/>
          <w:bCs/>
          <w:color w:val="333333"/>
        </w:rPr>
        <w:t>Sensodyne toothpaste</w:t>
      </w:r>
      <w:r>
        <w:rPr>
          <w:rFonts w:ascii="Arial" w:eastAsia="Arial" w:hAnsi="Arial" w:cs="Arial"/>
          <w:color w:val="333333"/>
        </w:rPr>
        <w:t xml:space="preserve"> for brushing if you experience sensitivity — it is specifically formulated to reduce nerve sensitivity.</w:t>
      </w:r>
    </w:p>
    <w:p w14:paraId="625AD241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Chewing sugar-free gum can help reduce peroxide levels in the mouth and alleviate sensitivity.</w:t>
      </w:r>
    </w:p>
    <w:p w14:paraId="51410006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Avoid very hot or very cold foods and beverages until sensitivity has resolved.</w:t>
      </w:r>
    </w:p>
    <w:p w14:paraId="45AABC0C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Avoid acidic fruit juices (such as orange juice) until the sensitivity has fully dissipated.</w:t>
      </w:r>
    </w:p>
    <w:p w14:paraId="41FCF858" w14:textId="77777777" w:rsidR="002B04EE" w:rsidRDefault="005A168C">
      <w:pPr>
        <w:pBdr>
          <w:bottom w:val="single" w:sz="8" w:space="4" w:color="1B6FA8"/>
        </w:pBdr>
        <w:spacing w:before="200" w:after="60"/>
      </w:pPr>
      <w:r>
        <w:rPr>
          <w:rFonts w:ascii="Arial" w:eastAsia="Arial" w:hAnsi="Arial" w:cs="Arial"/>
          <w:b/>
          <w:bCs/>
          <w:color w:val="1B6FA8"/>
          <w:sz w:val="22"/>
          <w:szCs w:val="22"/>
        </w:rPr>
        <w:t>The White Diet — First 48 Hours</w:t>
      </w:r>
    </w:p>
    <w:p w14:paraId="20D01599" w14:textId="77777777" w:rsidR="002B04EE" w:rsidRDefault="005A168C">
      <w:pPr>
        <w:spacing w:before="60" w:after="60"/>
      </w:pPr>
      <w:r>
        <w:rPr>
          <w:rFonts w:ascii="Arial" w:eastAsia="Arial" w:hAnsi="Arial" w:cs="Arial"/>
          <w:color w:val="333333"/>
        </w:rPr>
        <w:t>During the first 48 hours, your enamel pores are more open and susceptible to staining. Avoid the following: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B04EE" w14:paraId="4F46406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1B6FA8"/>
              <w:left w:val="single" w:sz="4" w:space="0" w:color="1B6FA8"/>
              <w:bottom w:val="single" w:sz="4" w:space="0" w:color="1B6FA8"/>
              <w:right w:val="single" w:sz="4" w:space="0" w:color="1B6FA8"/>
            </w:tcBorders>
            <w:shd w:val="clear" w:color="auto" w:fill="D6E8F5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69D948F3" w14:textId="77777777" w:rsidR="002B04EE" w:rsidRDefault="005A168C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B6FA8"/>
              </w:rPr>
              <w:t>Beverages</w:t>
            </w:r>
          </w:p>
          <w:p w14:paraId="4FD07F39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Coffee &amp; tea</w:t>
            </w:r>
          </w:p>
          <w:p w14:paraId="0CAD8B98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Red wine</w:t>
            </w:r>
          </w:p>
          <w:p w14:paraId="78D1108B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Dark-colored sodas</w:t>
            </w:r>
          </w:p>
          <w:p w14:paraId="0774ABE5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Sports &amp; energy drinks</w:t>
            </w:r>
          </w:p>
        </w:tc>
        <w:tc>
          <w:tcPr>
            <w:tcW w:w="3120" w:type="dxa"/>
            <w:tcBorders>
              <w:top w:val="single" w:sz="4" w:space="0" w:color="1B6FA8"/>
              <w:left w:val="single" w:sz="4" w:space="0" w:color="1B6FA8"/>
              <w:bottom w:val="single" w:sz="4" w:space="0" w:color="1B6FA8"/>
              <w:right w:val="single" w:sz="4" w:space="0" w:color="1B6FA8"/>
            </w:tcBorders>
            <w:shd w:val="clear" w:color="auto" w:fill="D6E8F5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21F32C5C" w14:textId="77777777" w:rsidR="002B04EE" w:rsidRDefault="005A168C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B6FA8"/>
              </w:rPr>
              <w:t>Foods</w:t>
            </w:r>
          </w:p>
          <w:p w14:paraId="08F999CB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 xml:space="preserve">Berries &amp; </w:t>
            </w:r>
            <w:proofErr w:type="gramStart"/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dark fruits</w:t>
            </w:r>
            <w:proofErr w:type="gramEnd"/>
          </w:p>
          <w:p w14:paraId="6A8DC873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Red &amp; tomato sauces</w:t>
            </w:r>
          </w:p>
          <w:p w14:paraId="5C4FDD76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Soy sauce</w:t>
            </w:r>
          </w:p>
          <w:p w14:paraId="7EEFD11A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Mustard &amp; ketchup</w:t>
            </w:r>
          </w:p>
          <w:p w14:paraId="5135DF76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Curries &amp; dark spices</w:t>
            </w:r>
          </w:p>
        </w:tc>
        <w:tc>
          <w:tcPr>
            <w:tcW w:w="3120" w:type="dxa"/>
            <w:tcBorders>
              <w:top w:val="single" w:sz="4" w:space="0" w:color="1B6FA8"/>
              <w:left w:val="single" w:sz="4" w:space="0" w:color="1B6FA8"/>
              <w:bottom w:val="single" w:sz="4" w:space="0" w:color="1B6FA8"/>
              <w:right w:val="single" w:sz="4" w:space="0" w:color="1B6FA8"/>
            </w:tcBorders>
            <w:shd w:val="clear" w:color="auto" w:fill="D6E8F5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1ACA8604" w14:textId="77777777" w:rsidR="002B04EE" w:rsidRDefault="005A168C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B6FA8"/>
              </w:rPr>
              <w:t>Other</w:t>
            </w:r>
          </w:p>
          <w:p w14:paraId="6683FA41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Tobacco products</w:t>
            </w:r>
          </w:p>
          <w:p w14:paraId="70246F4B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Colored lip products</w:t>
            </w:r>
          </w:p>
          <w:p w14:paraId="40CE8EBA" w14:textId="77777777" w:rsidR="002B04EE" w:rsidRDefault="005A168C">
            <w:pPr>
              <w:spacing w:before="20" w:after="2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Chlorhexidine rinse*</w:t>
            </w:r>
          </w:p>
        </w:tc>
      </w:tr>
    </w:tbl>
    <w:p w14:paraId="55225AAE" w14:textId="77777777" w:rsidR="002B04EE" w:rsidRDefault="005A168C">
      <w:pPr>
        <w:spacing w:before="60" w:after="60"/>
      </w:pPr>
      <w:r>
        <w:rPr>
          <w:rFonts w:ascii="Arial" w:eastAsia="Arial" w:hAnsi="Arial" w:cs="Arial"/>
          <w:i/>
          <w:iCs/>
          <w:color w:val="666666"/>
          <w:sz w:val="17"/>
          <w:szCs w:val="17"/>
        </w:rPr>
        <w:t>* If you use a Chlorhexidine (</w:t>
      </w:r>
      <w:proofErr w:type="spellStart"/>
      <w:r>
        <w:rPr>
          <w:rFonts w:ascii="Arial" w:eastAsia="Arial" w:hAnsi="Arial" w:cs="Arial"/>
          <w:i/>
          <w:iCs/>
          <w:color w:val="666666"/>
          <w:sz w:val="17"/>
          <w:szCs w:val="17"/>
        </w:rPr>
        <w:t>Peridex</w:t>
      </w:r>
      <w:proofErr w:type="spellEnd"/>
      <w:r>
        <w:rPr>
          <w:rFonts w:ascii="Arial" w:eastAsia="Arial" w:hAnsi="Arial" w:cs="Arial"/>
          <w:i/>
          <w:iCs/>
          <w:color w:val="666666"/>
          <w:sz w:val="17"/>
          <w:szCs w:val="17"/>
        </w:rPr>
        <w:t>) rinse as part of your regular home care, please wait 48 hours before resuming use.</w:t>
      </w:r>
    </w:p>
    <w:p w14:paraId="21FDB12F" w14:textId="77777777" w:rsidR="002B04EE" w:rsidRDefault="005A168C">
      <w:pPr>
        <w:pBdr>
          <w:bottom w:val="single" w:sz="8" w:space="4" w:color="1B6FA8"/>
        </w:pBdr>
        <w:spacing w:before="200" w:after="60"/>
      </w:pPr>
      <w:r>
        <w:rPr>
          <w:rFonts w:ascii="Arial" w:eastAsia="Arial" w:hAnsi="Arial" w:cs="Arial"/>
          <w:b/>
          <w:bCs/>
          <w:color w:val="1B6FA8"/>
          <w:sz w:val="22"/>
          <w:szCs w:val="22"/>
        </w:rPr>
        <w:t>Good Foods During the First 48 Hours</w:t>
      </w:r>
    </w:p>
    <w:p w14:paraId="1C83281A" w14:textId="77777777" w:rsidR="002B04EE" w:rsidRDefault="005A168C">
      <w:pPr>
        <w:spacing w:before="60" w:after="60"/>
      </w:pPr>
      <w:r>
        <w:rPr>
          <w:rFonts w:ascii="Arial" w:eastAsia="Arial" w:hAnsi="Arial" w:cs="Arial"/>
          <w:color w:val="333333"/>
        </w:rPr>
        <w:t>Stick to white or light-colored foods: chicken, fish, rice, pasta (with light sauce), white bread, bananas, apples, milk, white yogurt, and water.</w:t>
      </w:r>
    </w:p>
    <w:p w14:paraId="6EA6209E" w14:textId="77777777" w:rsidR="002B04EE" w:rsidRDefault="005A168C">
      <w:pPr>
        <w:pBdr>
          <w:bottom w:val="single" w:sz="8" w:space="4" w:color="1B6FA8"/>
        </w:pBdr>
        <w:spacing w:before="200" w:after="60"/>
      </w:pPr>
      <w:r>
        <w:rPr>
          <w:rFonts w:ascii="Arial" w:eastAsia="Arial" w:hAnsi="Arial" w:cs="Arial"/>
          <w:b/>
          <w:bCs/>
          <w:color w:val="1B6FA8"/>
          <w:sz w:val="22"/>
          <w:szCs w:val="22"/>
        </w:rPr>
        <w:t>Maintaining Your Results</w:t>
      </w:r>
    </w:p>
    <w:p w14:paraId="763E4FEC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Continue excellent oral hygiene — brushing twice daily and flossing once daily will greatly help maintain your new shade.</w:t>
      </w:r>
    </w:p>
    <w:p w14:paraId="4F8CFAC2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Whitened teeth will always remain lighter than they were before treatment; results vary based on diet, habits, and oral hygiene.</w:t>
      </w:r>
    </w:p>
    <w:p w14:paraId="6E7CBF36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>If you notice your teeth beginning to darken over time, a touch-up treatment with custom take-home trays is a great option. Ask us about fabricating a set for you.</w:t>
      </w:r>
    </w:p>
    <w:p w14:paraId="42C0798C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333333"/>
        </w:rPr>
        <w:t xml:space="preserve">Using </w:t>
      </w:r>
      <w:proofErr w:type="gramStart"/>
      <w:r>
        <w:rPr>
          <w:rFonts w:ascii="Arial" w:eastAsia="Arial" w:hAnsi="Arial" w:cs="Arial"/>
          <w:color w:val="333333"/>
        </w:rPr>
        <w:t>a whitening</w:t>
      </w:r>
      <w:proofErr w:type="gramEnd"/>
      <w:r>
        <w:rPr>
          <w:rFonts w:ascii="Arial" w:eastAsia="Arial" w:hAnsi="Arial" w:cs="Arial"/>
          <w:color w:val="333333"/>
        </w:rPr>
        <w:t xml:space="preserve"> toothpaste for maintenance (once daily) can help extend your results.</w:t>
      </w:r>
    </w:p>
    <w:p w14:paraId="6D03BE4F" w14:textId="77777777" w:rsidR="002B04EE" w:rsidRDefault="005A168C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rFonts w:ascii="Arial" w:eastAsia="Arial" w:hAnsi="Arial" w:cs="Arial"/>
          <w:color w:val="333333"/>
        </w:rPr>
        <w:t>Avoid</w:t>
      </w:r>
      <w:proofErr w:type="gramEnd"/>
      <w:r>
        <w:rPr>
          <w:rFonts w:ascii="Arial" w:eastAsia="Arial" w:hAnsi="Arial" w:cs="Arial"/>
          <w:color w:val="333333"/>
        </w:rPr>
        <w:t xml:space="preserve"> tobacco products — smoking and chewing tobacco are leading causes of tooth discoloration.</w:t>
      </w:r>
    </w:p>
    <w:p w14:paraId="43A8BD5B" w14:textId="77777777" w:rsidR="002B04EE" w:rsidRDefault="002B04E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B04EE" w14:paraId="26880A5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B6FA8"/>
              <w:left w:val="single" w:sz="8" w:space="0" w:color="1B6FA8"/>
              <w:bottom w:val="single" w:sz="8" w:space="0" w:color="1B6FA8"/>
              <w:right w:val="single" w:sz="8" w:space="0" w:color="1B6FA8"/>
            </w:tcBorders>
            <w:shd w:val="clear" w:color="auto" w:fill="D6E8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B753230" w14:textId="77777777" w:rsidR="002B04EE" w:rsidRDefault="005A168C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1B6FA8"/>
                <w:sz w:val="22"/>
                <w:szCs w:val="22"/>
              </w:rPr>
              <w:t>Questions or Concerns? Call Us Anytime.</w:t>
            </w:r>
          </w:p>
          <w:p w14:paraId="1A132505" w14:textId="77777777" w:rsidR="002B04EE" w:rsidRDefault="005A168C">
            <w:pPr>
              <w:jc w:val="center"/>
            </w:pPr>
            <w:r>
              <w:rPr>
                <w:rFonts w:ascii="Arial" w:eastAsia="Arial" w:hAnsi="Arial" w:cs="Arial"/>
                <w:color w:val="333333"/>
              </w:rPr>
              <w:t xml:space="preserve">Gardens </w:t>
            </w:r>
            <w:proofErr w:type="gramStart"/>
            <w:r>
              <w:rPr>
                <w:rFonts w:ascii="Arial" w:eastAsia="Arial" w:hAnsi="Arial" w:cs="Arial"/>
                <w:color w:val="333333"/>
              </w:rPr>
              <w:t>Dentistry  •</w:t>
            </w:r>
            <w:proofErr w:type="gramEnd"/>
            <w:r>
              <w:rPr>
                <w:rFonts w:ascii="Arial" w:eastAsia="Arial" w:hAnsi="Arial" w:cs="Arial"/>
                <w:color w:val="333333"/>
              </w:rPr>
              <w:t xml:space="preserve">  (561) 508-6923</w:t>
            </w:r>
          </w:p>
          <w:p w14:paraId="6B7FF287" w14:textId="77777777" w:rsidR="002B04EE" w:rsidRDefault="005A168C">
            <w:pPr>
              <w:spacing w:before="20"/>
              <w:jc w:val="center"/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lastRenderedPageBreak/>
              <w:t>If sensitivity is severe or does not resolve within one week, please give us a call.</w:t>
            </w:r>
          </w:p>
        </w:tc>
      </w:tr>
    </w:tbl>
    <w:p w14:paraId="4C01C1FC" w14:textId="77777777" w:rsidR="005A168C" w:rsidRDefault="005A168C"/>
    <w:sectPr w:rsidR="00000000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AD5"/>
    <w:multiLevelType w:val="hybridMultilevel"/>
    <w:tmpl w:val="00BC6B3C"/>
    <w:lvl w:ilvl="0" w:tplc="5082F15C">
      <w:start w:val="1"/>
      <w:numFmt w:val="bullet"/>
      <w:lvlText w:val="•"/>
      <w:lvlJc w:val="left"/>
      <w:pPr>
        <w:ind w:left="480" w:hanging="240"/>
      </w:pPr>
    </w:lvl>
    <w:lvl w:ilvl="1" w:tplc="00B46F2C">
      <w:numFmt w:val="decimal"/>
      <w:lvlText w:val=""/>
      <w:lvlJc w:val="left"/>
    </w:lvl>
    <w:lvl w:ilvl="2" w:tplc="5CD834CA">
      <w:numFmt w:val="decimal"/>
      <w:lvlText w:val=""/>
      <w:lvlJc w:val="left"/>
    </w:lvl>
    <w:lvl w:ilvl="3" w:tplc="AAC0138A">
      <w:numFmt w:val="decimal"/>
      <w:lvlText w:val=""/>
      <w:lvlJc w:val="left"/>
    </w:lvl>
    <w:lvl w:ilvl="4" w:tplc="0A3E6DB6">
      <w:numFmt w:val="decimal"/>
      <w:lvlText w:val=""/>
      <w:lvlJc w:val="left"/>
    </w:lvl>
    <w:lvl w:ilvl="5" w:tplc="59FED6CE">
      <w:numFmt w:val="decimal"/>
      <w:lvlText w:val=""/>
      <w:lvlJc w:val="left"/>
    </w:lvl>
    <w:lvl w:ilvl="6" w:tplc="3014E832">
      <w:numFmt w:val="decimal"/>
      <w:lvlText w:val=""/>
      <w:lvlJc w:val="left"/>
    </w:lvl>
    <w:lvl w:ilvl="7" w:tplc="691E0060">
      <w:numFmt w:val="decimal"/>
      <w:lvlText w:val=""/>
      <w:lvlJc w:val="left"/>
    </w:lvl>
    <w:lvl w:ilvl="8" w:tplc="C5A61BEE">
      <w:numFmt w:val="decimal"/>
      <w:lvlText w:val=""/>
      <w:lvlJc w:val="left"/>
    </w:lvl>
  </w:abstractNum>
  <w:abstractNum w:abstractNumId="1" w15:restartNumberingAfterBreak="0">
    <w:nsid w:val="2DE01CA5"/>
    <w:multiLevelType w:val="hybridMultilevel"/>
    <w:tmpl w:val="68A4F27C"/>
    <w:lvl w:ilvl="0" w:tplc="356A79CA">
      <w:start w:val="1"/>
      <w:numFmt w:val="bullet"/>
      <w:lvlText w:val="●"/>
      <w:lvlJc w:val="left"/>
      <w:pPr>
        <w:ind w:left="720" w:hanging="360"/>
      </w:pPr>
    </w:lvl>
    <w:lvl w:ilvl="1" w:tplc="A04E5F9C">
      <w:start w:val="1"/>
      <w:numFmt w:val="bullet"/>
      <w:lvlText w:val="○"/>
      <w:lvlJc w:val="left"/>
      <w:pPr>
        <w:ind w:left="1440" w:hanging="360"/>
      </w:pPr>
    </w:lvl>
    <w:lvl w:ilvl="2" w:tplc="3992235E">
      <w:start w:val="1"/>
      <w:numFmt w:val="bullet"/>
      <w:lvlText w:val="■"/>
      <w:lvlJc w:val="left"/>
      <w:pPr>
        <w:ind w:left="2160" w:hanging="360"/>
      </w:pPr>
    </w:lvl>
    <w:lvl w:ilvl="3" w:tplc="147C5AE6">
      <w:start w:val="1"/>
      <w:numFmt w:val="bullet"/>
      <w:lvlText w:val="●"/>
      <w:lvlJc w:val="left"/>
      <w:pPr>
        <w:ind w:left="2880" w:hanging="360"/>
      </w:pPr>
    </w:lvl>
    <w:lvl w:ilvl="4" w:tplc="851AA79A">
      <w:start w:val="1"/>
      <w:numFmt w:val="bullet"/>
      <w:lvlText w:val="○"/>
      <w:lvlJc w:val="left"/>
      <w:pPr>
        <w:ind w:left="3600" w:hanging="360"/>
      </w:pPr>
    </w:lvl>
    <w:lvl w:ilvl="5" w:tplc="65562D2C">
      <w:start w:val="1"/>
      <w:numFmt w:val="bullet"/>
      <w:lvlText w:val="■"/>
      <w:lvlJc w:val="left"/>
      <w:pPr>
        <w:ind w:left="4320" w:hanging="360"/>
      </w:pPr>
    </w:lvl>
    <w:lvl w:ilvl="6" w:tplc="3CDE95EC">
      <w:start w:val="1"/>
      <w:numFmt w:val="bullet"/>
      <w:lvlText w:val="●"/>
      <w:lvlJc w:val="left"/>
      <w:pPr>
        <w:ind w:left="5040" w:hanging="360"/>
      </w:pPr>
    </w:lvl>
    <w:lvl w:ilvl="7" w:tplc="0BAAF5AA">
      <w:start w:val="1"/>
      <w:numFmt w:val="bullet"/>
      <w:lvlText w:val="●"/>
      <w:lvlJc w:val="left"/>
      <w:pPr>
        <w:ind w:left="5760" w:hanging="360"/>
      </w:pPr>
    </w:lvl>
    <w:lvl w:ilvl="8" w:tplc="1ECCE376">
      <w:start w:val="1"/>
      <w:numFmt w:val="bullet"/>
      <w:lvlText w:val="●"/>
      <w:lvlJc w:val="left"/>
      <w:pPr>
        <w:ind w:left="6480" w:hanging="360"/>
      </w:pPr>
    </w:lvl>
  </w:abstractNum>
  <w:num w:numId="1" w16cid:durableId="329798977">
    <w:abstractNumId w:val="1"/>
    <w:lvlOverride w:ilvl="0">
      <w:startOverride w:val="1"/>
    </w:lvlOverride>
  </w:num>
  <w:num w:numId="2" w16cid:durableId="5372775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EE"/>
    <w:rsid w:val="00296867"/>
    <w:rsid w:val="002B04EE"/>
    <w:rsid w:val="005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C0DD"/>
  <w15:docId w15:val="{BEB745CC-BCA4-406A-9899-3FB0832A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Dalia Al-Azzawi</cp:lastModifiedBy>
  <cp:revision>2</cp:revision>
  <dcterms:created xsi:type="dcterms:W3CDTF">2026-02-24T10:58:00Z</dcterms:created>
  <dcterms:modified xsi:type="dcterms:W3CDTF">2026-02-24T10:58:00Z</dcterms:modified>
</cp:coreProperties>
</file>